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4693E"/>
          <w:sz w:val="17"/>
        </w:rPr>
        <w:t>VORTRIEB · CHECKLISTE</w:t>
      </w:r>
    </w:p>
    <w:p>
      <w:r>
        <w:rPr>
          <w:b/>
          <w:color w:val="13233F"/>
          <w:sz w:val="32"/>
        </w:rPr>
        <w:t>Strom und Gas 2027/28: Markt oder Grundversorgung entscheiden</w:t>
      </w:r>
    </w:p>
    <w:p>
      <w:r>
        <w:rPr>
          <w:color w:val="6B7487"/>
          <w:sz w:val="19"/>
        </w:rPr>
        <w:t>Für wen: Leitung Einkauf und Finanzen in KMU mit mindestens 100 MWh Stromverbrauch pro Verbrauchsstätte oder mit Gasbezug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67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</w:r>
          </w:p>
        </w:tc>
        <w:tc>
          <w:tcPr>
            <w:tcW w:type="dxa" w:w="6009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Aufgabe</w:t>
            </w:r>
          </w:p>
        </w:tc>
        <w:tc>
          <w:tcPr>
            <w:tcW w:type="dxa" w:w="1701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Wer</w:t>
            </w:r>
          </w:p>
        </w:tc>
        <w:tc>
          <w:tcPr>
            <w:tcW w:type="dxa" w:w="1474"/>
            <w:shd w:val="clear" w:color="auto" w:fill="13233F"/>
          </w:tcPr>
          <w:p>
            <w:r>
              <w:rPr>
                <w:b/>
                <w:color w:val="FFFFFF"/>
                <w:sz w:val="18"/>
              </w:rPr>
              <w:t>Bis wann</w:t>
            </w:r>
          </w:p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Jahresverbrauch jeder Verbrauchsstätte aus den letzten 12 Monaten vor der letzten Ablesung ermittelt, inklusive Eigenproduktion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Anspruch ab 100 MWh pro Verbrauchsstätte geprüft und dokumentiert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Lieferjahr festgelegt und Meldefrist mit Wochentag im Kalender eingetragen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Energietarif der Grundversorgung aus dem Tarifblatt des eigenen Netzbetreibers übernommen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Mindestens drei Angebote mit identischen Daten und Lastgang angefragt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Angebote nur über den Energieteil verglichen, Grundgebühr und Herkunftsnachweis eingerechnet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Stressfall für nicht fixierte Mengen gerechnet und mit der Finanzleitung besprochen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Endgültigkeit des Austritts von der Geschäftsleitung schriftlich freigegeben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Mitteilung mit Zählpunkt schriftlich und mit Empfangsbestätigung versandt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Messung und Messkosten mit dem Netzbetreiber geklärt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Laufzeit und Kündigung des Gasvertrags geprüft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  <w:tr>
        <w:tc>
          <w:tcPr>
            <w:tcW w:type="dxa" w:w="567"/>
          </w:tcPr>
          <w:p>
            <w:r>
              <w:rPr>
                <w:sz w:val="26"/>
              </w:rPr>
              <w:t>☐</w:t>
            </w:r>
          </w:p>
        </w:tc>
        <w:tc>
          <w:tcPr>
            <w:tcW w:type="dxa" w:w="6009"/>
          </w:tcPr>
          <w:p>
            <w:r>
              <w:t>Notfallblatt Gas mit Heizölvorrat, Umschalttest, Sparmassnahmen und Kontakten aktualisiert</w:t>
            </w:r>
          </w:p>
        </w:tc>
        <w:tc>
          <w:tcPr>
            <w:tcW w:type="dxa" w:w="1701"/>
          </w:tcPr>
          <w:p/>
        </w:tc>
        <w:tc>
          <w:tcPr>
            <w:tcW w:type="dxa" w:w="1474"/>
          </w:tcPr>
          <w:p/>
        </w:tc>
      </w:tr>
    </w:tbl>
    <w:p/>
    <w:p>
      <w:r>
        <w:rPr>
          <w:sz w:val="19"/>
        </w:rPr>
        <w:t>Zur Anleitung mit Schritten, Beispielen, Quellen, Vorlage und KI-Skill: https://www.vortrieb.ch/strom-markt-oder-grundversorgung/</w:t>
      </w:r>
    </w:p>
    <w:sectPr w:rsidR="00FC693F" w:rsidRPr="0006063C" w:rsidSect="00034616">
      <w:footerReference w:type="default" r:id="rId9"/>
      <w:pgSz w:w="12240" w:h="15840"/>
      <w:pgMar w:top="102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487"/>
        <w:sz w:val="16"/>
      </w:rPr>
      <w:t>Vortrieb · vortrieb.ch · Stand Oktober 2026 · ersetzt keine Beratung im Einzelfall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Checkliste: Strom und Gas 2027/28: Markt oder Grundversorgung entscheiden</dc:title>
  <dc:subject/>
  <dc:creator>Vortrieb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