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93E"/>
          <w:sz w:val="17"/>
        </w:rPr>
        <w:t>VORTRIEB · CHECKLISTE</w:t>
      </w:r>
    </w:p>
    <w:p>
      <w:r>
        <w:rPr>
          <w:b/>
          <w:color w:val="13233F"/>
          <w:sz w:val="32"/>
        </w:rPr>
        <w:t>Quellensteuer 2027 in der Lohnsoftware umstellen: Tarifdateien, Tessin, Kinderabzug</w:t>
      </w:r>
    </w:p>
    <w:p>
      <w:r>
        <w:rPr>
          <w:color w:val="6B7487"/>
          <w:sz w:val="19"/>
        </w:rPr>
        <w:t>Für wen: Payroll-Verantwortliche, HR- und Finanzleitung in KMU mit quellensteuerpflichtigen Mitarbeitenden sowie Treuhänderinnen und Treuhänder mit Lohnmandaten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6009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1701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1474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Anbieter hat Update für Recordformat 2027 und Termin schriftlich bestätigt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Software ist Swissdec-zertifiziert, ELM-Version für Ihre Fälle geklärt (mindestens 5.0, bei FR-Grenzgängern 5.3)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Liste aller quellensteuerpflichtigen Mitarbeitenden mit Arbeitskanton erstellt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Austritte aus der Quellensteuer (Bewilligung C) und Neueintritte abgeglichen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Tarifgruppe, Kinderzahl und Kirchensteuer je Person mit Personalakte geprüft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Nachweise für volljährige Kinder in Erstausbildung vorhanden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Tessiner Fälle mit Wohnsitz im Ausland den Codes W, X, Y, Z zugeordnet und mit dem Kanton geklärt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Tarifdateien 2027 pro Kanton importiert, Dateidatum protokolliert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Testlohnlauf Januar 2027 mit Stichproben gegen lesbare Tarife geprüft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Dezember 2026 und Jahresabrechnung fristgerecht übermittelt, Quittungen geprüft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Korrekturen 2026 bis 31. März 2027 erledigt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</w:tbl>
    <w:p/>
    <w:p>
      <w:r>
        <w:rPr>
          <w:sz w:val="19"/>
        </w:rPr>
        <w:t>Zur Anleitung mit Schritten, Beispielen, Quellen, Vorlage und KI-Skill: https://www.vortrieb.ch/quellensteuer-2027-lohnsoftware-umstellen/</w:t>
      </w:r>
    </w:p>
    <w:sectPr w:rsidR="00FC693F" w:rsidRPr="0006063C" w:rsidSect="00034616">
      <w:footerReference w:type="default" r:id="rId9"/>
      <w:pgSz w:w="12240" w:h="15840"/>
      <w:pgMar w:top="102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487"/>
        <w:sz w:val="16"/>
      </w:rPr>
      <w:t>Vortrieb · vortrieb.ch · Stand Oktober 2026 · ersetzt keine Beratung im Einzelfall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Quellensteuer 2027 in der Lohnsoftware umstellen: Tarifdateien, Tessin, Kinderabzug</dc:title>
  <dc:subject/>
  <dc:creator>Vortrieb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