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93E"/>
          <w:sz w:val="17"/>
        </w:rPr>
        <w:t>VORTRIEB · CHECKLISTE</w:t>
      </w:r>
    </w:p>
    <w:p>
      <w:r>
        <w:rPr>
          <w:b/>
          <w:color w:val="13233F"/>
          <w:sz w:val="32"/>
        </w:rPr>
        <w:t>Gläubiger im Nachlassverfahren: Forderung prüfen, über den Nachlassvertrag abstimmen, Frist wahren</w:t>
      </w:r>
    </w:p>
    <w:p>
      <w:r>
        <w:rPr>
          <w:color w:val="6B7487"/>
          <w:sz w:val="19"/>
        </w:rPr>
        <w:t>Für wen: Leitung Finanzen, Debitorenbuchhaltung und Kreditmanagement von KMU mit 10 bis 200 Mitarbeitenden, deren Kunde in Nachlassstundung 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</w:r>
          </w:p>
        </w:tc>
        <w:tc>
          <w:tcPr>
            <w:tcW w:type="dxa" w:w="6009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1701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1474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SHAB-Meldung gefunden, Bewilligungsdatum, Nachlassgericht und Sachwalter notiert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Offene Posten nach Stichtag getrennt: vor der Stundung und danach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Betreibungen und Mahnläufe für den Kunden gestoppt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Eingabefrist aus dem Schuldenruf berechnet und im Kalender eingetragen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Forderung mit Kapital, Verzugszins bis Stichtag und Belegen eingeschrieben eingegeben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Anerkennung der Forderung bei der Akteneinsicht oder beim Sachwalter geprüft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Neue Lieferungen nur mit schriftlicher Zustimmung des Sachwalters oder gegen Vorauszahlung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Nachlassdividende und Konkursdividende nach Betrag und Zahlungszeitpunkt verglichen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Bürgen, Garanten und Mitschuldner mindestens zehn Tage vor der Versammlung eingeschrieben informiert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Stimmformular zeichnungsberechtigt unterschrieben und vor der Frist eingeschrieben versandt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Bestätigungsentscheid, Beschwerdefrist und allfällige Klagefrist von 20 Tagen überwacht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Verzichtsteil ausgebucht, Zahlungstermine der Dividenden im Debitorenmonitoring hinterlegt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</w:tbl>
    <w:p/>
    <w:p>
      <w:r>
        <w:rPr>
          <w:sz w:val="19"/>
        </w:rPr>
        <w:t>Zur Anleitung mit Schritten, Beispielen, Quellen, Vorlage und KI-Skill: https://www.vortrieb.ch/glaeubiger-nachlassstundung-nachlassvertrag/</w:t>
      </w:r>
    </w:p>
    <w:sectPr w:rsidR="00FC693F" w:rsidRPr="0006063C" w:rsidSect="00034616">
      <w:footerReference w:type="default" r:id="rId9"/>
      <w:pgSz w:w="12240" w:h="15840"/>
      <w:pgMar w:top="102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487"/>
        <w:sz w:val="16"/>
      </w:rPr>
      <w:t>Vortrieb · vortrieb.ch · Stand Oktober 2026 · ersetzt keine Beratung im Einzelfall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Gläubiger im Nachlassverfahren: Forderung prüfen, über den Nachlassvertrag abstimmen, Frist wahren</dc:title>
  <dc:subject/>
  <dc:creator>Vortrieb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